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7B" w:rsidRDefault="0048537B" w:rsidP="0048537B">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出租汽车专用泊位硬</w:t>
      </w:r>
      <w:r>
        <w:rPr>
          <w:rFonts w:ascii="宋体" w:eastAsia="宋体" w:hAnsi="宋体" w:cs="宋体" w:hint="eastAsia"/>
          <w:sz w:val="44"/>
          <w:szCs w:val="44"/>
        </w:rPr>
        <w:t>隔离护栏及出租汽车专用通道标识牌</w:t>
      </w:r>
      <w:r>
        <w:rPr>
          <w:rFonts w:asciiTheme="majorEastAsia" w:eastAsiaTheme="majorEastAsia" w:hAnsiTheme="majorEastAsia" w:cstheme="majorEastAsia" w:hint="eastAsia"/>
          <w:sz w:val="44"/>
          <w:szCs w:val="44"/>
        </w:rPr>
        <w:t>竞争性比选评分办法</w:t>
      </w:r>
    </w:p>
    <w:p w:rsidR="0048537B" w:rsidRDefault="0048537B" w:rsidP="0048537B">
      <w:pPr>
        <w:spacing w:line="360" w:lineRule="auto"/>
        <w:ind w:firstLineChars="200" w:firstLine="640"/>
        <w:rPr>
          <w:rFonts w:ascii="仿宋_GB2312" w:eastAsia="仿宋_GB2312" w:hAnsi="宋体" w:cs="仿宋"/>
          <w:sz w:val="32"/>
          <w:szCs w:val="32"/>
        </w:rPr>
      </w:pPr>
    </w:p>
    <w:p w:rsidR="0048537B" w:rsidRPr="0048537B" w:rsidRDefault="0048537B" w:rsidP="0048537B">
      <w:pPr>
        <w:spacing w:line="360" w:lineRule="auto"/>
        <w:ind w:firstLineChars="200" w:firstLine="640"/>
        <w:rPr>
          <w:rFonts w:ascii="Times New Roman" w:eastAsia="仿宋_GB2312" w:hAnsi="Times New Roman" w:cs="Times New Roman"/>
          <w:sz w:val="32"/>
          <w:szCs w:val="32"/>
        </w:rPr>
      </w:pPr>
      <w:r>
        <w:rPr>
          <w:rFonts w:ascii="仿宋_GB2312" w:eastAsia="仿宋_GB2312" w:hAnsi="宋体" w:cs="仿宋" w:hint="eastAsia"/>
          <w:sz w:val="32"/>
          <w:szCs w:val="32"/>
        </w:rPr>
        <w:t>按综合评分法评审表下列公式计算出投标人的评标总得分，评标总得分最高的投标人为中标人，若出现评标总得分相同的，按投标报价由低到高顺序排列；评标总得分且投标报价相同的，按技术部分得分由高到低顺序排列，依次类推。</w:t>
      </w:r>
      <w:r>
        <w:rPr>
          <w:rFonts w:ascii="Times New Roman" w:eastAsia="仿宋_GB2312" w:hAnsi="Times New Roman" w:cs="Times New Roman"/>
          <w:sz w:val="32"/>
          <w:szCs w:val="32"/>
        </w:rPr>
        <w:t>若</w:t>
      </w:r>
      <w:r>
        <w:rPr>
          <w:rFonts w:ascii="Times New Roman" w:eastAsia="仿宋_GB2312" w:hAnsi="Times New Roman" w:cs="Times New Roman" w:hint="eastAsia"/>
          <w:sz w:val="32"/>
          <w:szCs w:val="32"/>
        </w:rPr>
        <w:t>所有分</w:t>
      </w:r>
      <w:r>
        <w:rPr>
          <w:rFonts w:ascii="Times New Roman" w:eastAsia="仿宋_GB2312" w:hAnsi="Times New Roman" w:cs="Times New Roman"/>
          <w:sz w:val="32"/>
          <w:szCs w:val="32"/>
        </w:rPr>
        <w:t>均相同，由</w:t>
      </w:r>
      <w:r>
        <w:rPr>
          <w:rFonts w:ascii="Times New Roman" w:eastAsia="仿宋_GB2312" w:hAnsi="Times New Roman" w:cs="Times New Roman" w:hint="eastAsia"/>
          <w:sz w:val="32"/>
          <w:szCs w:val="32"/>
        </w:rPr>
        <w:t>谈判</w:t>
      </w:r>
      <w:r>
        <w:rPr>
          <w:rFonts w:ascii="Times New Roman" w:eastAsia="仿宋_GB2312" w:hAnsi="Times New Roman" w:cs="Times New Roman"/>
          <w:sz w:val="32"/>
          <w:szCs w:val="32"/>
        </w:rPr>
        <w:t>小组</w:t>
      </w:r>
      <w:r>
        <w:rPr>
          <w:rFonts w:ascii="Times New Roman" w:eastAsia="仿宋_GB2312" w:hAnsi="Times New Roman" w:cs="Times New Roman" w:hint="eastAsia"/>
          <w:sz w:val="32"/>
          <w:szCs w:val="32"/>
        </w:rPr>
        <w:t>采用投票方式</w:t>
      </w:r>
      <w:r>
        <w:rPr>
          <w:rFonts w:ascii="Times New Roman" w:eastAsia="仿宋_GB2312" w:hAnsi="Times New Roman" w:cs="Times New Roman"/>
          <w:sz w:val="32"/>
          <w:szCs w:val="32"/>
        </w:rPr>
        <w:t>确定</w:t>
      </w:r>
      <w:r>
        <w:rPr>
          <w:rFonts w:ascii="Times New Roman" w:eastAsia="仿宋_GB2312" w:hAnsi="Times New Roman" w:cs="Times New Roman" w:hint="eastAsia"/>
          <w:sz w:val="32"/>
          <w:szCs w:val="32"/>
        </w:rPr>
        <w:t>中选人</w:t>
      </w:r>
      <w:r>
        <w:rPr>
          <w:rFonts w:ascii="Times New Roman" w:eastAsia="仿宋_GB2312" w:hAnsi="Times New Roman" w:cs="Times New Roman"/>
          <w:sz w:val="32"/>
          <w:szCs w:val="32"/>
        </w:rPr>
        <w:t>。</w:t>
      </w:r>
    </w:p>
    <w:p w:rsidR="0048537B" w:rsidRDefault="0048537B" w:rsidP="0048537B">
      <w:pPr>
        <w:spacing w:line="560" w:lineRule="atLeast"/>
        <w:jc w:val="center"/>
        <w:rPr>
          <w:rFonts w:ascii="黑体" w:eastAsia="黑体" w:hAnsi="黑体" w:hint="eastAsia"/>
          <w:sz w:val="30"/>
          <w:szCs w:val="21"/>
        </w:rPr>
      </w:pPr>
    </w:p>
    <w:p w:rsidR="0048537B" w:rsidRDefault="0048537B" w:rsidP="0048537B">
      <w:pPr>
        <w:spacing w:line="560" w:lineRule="atLeast"/>
        <w:jc w:val="center"/>
        <w:rPr>
          <w:rFonts w:ascii="黑体" w:eastAsia="黑体" w:hAnsi="黑体" w:hint="eastAsia"/>
          <w:sz w:val="30"/>
          <w:szCs w:val="21"/>
        </w:rPr>
      </w:pPr>
    </w:p>
    <w:p w:rsidR="0048537B" w:rsidRDefault="0048537B" w:rsidP="0048537B">
      <w:pPr>
        <w:spacing w:line="560" w:lineRule="atLeast"/>
        <w:jc w:val="center"/>
        <w:rPr>
          <w:rFonts w:ascii="黑体" w:eastAsia="黑体" w:hAnsi="黑体"/>
          <w:sz w:val="30"/>
          <w:szCs w:val="21"/>
        </w:rPr>
      </w:pPr>
      <w:r>
        <w:rPr>
          <w:rFonts w:ascii="黑体" w:eastAsia="黑体" w:hAnsi="黑体" w:hint="eastAsia"/>
          <w:sz w:val="30"/>
          <w:szCs w:val="21"/>
        </w:rPr>
        <w:t>评标办法</w:t>
      </w:r>
    </w:p>
    <w:tbl>
      <w:tblPr>
        <w:tblW w:w="930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809"/>
        <w:gridCol w:w="1111"/>
        <w:gridCol w:w="1112"/>
        <w:gridCol w:w="673"/>
        <w:gridCol w:w="5595"/>
      </w:tblGrid>
      <w:tr w:rsidR="0048537B" w:rsidTr="00C92609">
        <w:trPr>
          <w:trHeight w:val="454"/>
          <w:jc w:val="center"/>
        </w:trPr>
        <w:tc>
          <w:tcPr>
            <w:tcW w:w="3032" w:type="dxa"/>
            <w:gridSpan w:val="3"/>
            <w:tcBorders>
              <w:top w:val="single" w:sz="12" w:space="0" w:color="auto"/>
              <w:left w:val="single" w:sz="12" w:space="0" w:color="auto"/>
              <w:bottom w:val="single" w:sz="8" w:space="0" w:color="auto"/>
              <w:right w:val="single" w:sz="8" w:space="0" w:color="auto"/>
            </w:tcBorders>
            <w:vAlign w:val="center"/>
          </w:tcPr>
          <w:p w:rsidR="0048537B" w:rsidRDefault="0048537B" w:rsidP="00C92609">
            <w:pPr>
              <w:spacing w:line="560" w:lineRule="atLeast"/>
              <w:rPr>
                <w:rFonts w:ascii="宋体" w:hAnsi="宋体"/>
                <w:sz w:val="24"/>
                <w:szCs w:val="21"/>
              </w:rPr>
            </w:pPr>
          </w:p>
          <w:p w:rsidR="0048537B" w:rsidRDefault="0048537B" w:rsidP="00C92609">
            <w:pPr>
              <w:spacing w:line="560" w:lineRule="atLeast"/>
              <w:jc w:val="center"/>
              <w:rPr>
                <w:rFonts w:ascii="宋体" w:hAnsi="宋体"/>
                <w:b/>
                <w:sz w:val="24"/>
                <w:szCs w:val="21"/>
              </w:rPr>
            </w:pPr>
            <w:r>
              <w:rPr>
                <w:rFonts w:ascii="宋体" w:hAnsi="宋体" w:hint="eastAsia"/>
                <w:b/>
                <w:sz w:val="24"/>
                <w:szCs w:val="21"/>
              </w:rPr>
              <w:t>内容</w:t>
            </w:r>
          </w:p>
        </w:tc>
        <w:tc>
          <w:tcPr>
            <w:tcW w:w="6268" w:type="dxa"/>
            <w:gridSpan w:val="2"/>
            <w:tcBorders>
              <w:top w:val="single" w:sz="12" w:space="0" w:color="auto"/>
              <w:left w:val="single" w:sz="8" w:space="0" w:color="auto"/>
              <w:bottom w:val="single" w:sz="8" w:space="0" w:color="auto"/>
              <w:right w:val="single" w:sz="12" w:space="0" w:color="auto"/>
            </w:tcBorders>
            <w:vAlign w:val="center"/>
          </w:tcPr>
          <w:p w:rsidR="0048537B" w:rsidRDefault="0048537B" w:rsidP="00C92609">
            <w:pPr>
              <w:spacing w:line="560" w:lineRule="atLeast"/>
              <w:jc w:val="center"/>
              <w:rPr>
                <w:rFonts w:ascii="宋体" w:hAnsi="宋体"/>
                <w:b/>
                <w:sz w:val="24"/>
                <w:szCs w:val="21"/>
              </w:rPr>
            </w:pPr>
            <w:r>
              <w:rPr>
                <w:rFonts w:ascii="宋体" w:hAnsi="宋体" w:hint="eastAsia"/>
                <w:b/>
                <w:sz w:val="24"/>
                <w:szCs w:val="21"/>
              </w:rPr>
              <w:t>编列内容</w:t>
            </w:r>
          </w:p>
        </w:tc>
      </w:tr>
      <w:tr w:rsidR="0048537B" w:rsidTr="00C92609">
        <w:trPr>
          <w:cantSplit/>
          <w:trHeight w:val="454"/>
          <w:jc w:val="center"/>
        </w:trPr>
        <w:tc>
          <w:tcPr>
            <w:tcW w:w="3032" w:type="dxa"/>
            <w:gridSpan w:val="3"/>
            <w:vMerge w:val="restart"/>
            <w:tcBorders>
              <w:top w:val="single" w:sz="8" w:space="0" w:color="auto"/>
              <w:left w:val="single" w:sz="12" w:space="0" w:color="auto"/>
              <w:bottom w:val="single" w:sz="8" w:space="0" w:color="auto"/>
              <w:right w:val="single" w:sz="8" w:space="0" w:color="auto"/>
            </w:tcBorders>
            <w:vAlign w:val="center"/>
          </w:tcPr>
          <w:p w:rsidR="0048537B" w:rsidRDefault="0048537B" w:rsidP="00C92609">
            <w:pPr>
              <w:spacing w:line="560" w:lineRule="atLeast"/>
              <w:jc w:val="center"/>
              <w:rPr>
                <w:rFonts w:ascii="宋体" w:hAnsi="宋体"/>
                <w:sz w:val="24"/>
                <w:szCs w:val="21"/>
              </w:rPr>
            </w:pPr>
            <w:r>
              <w:rPr>
                <w:rFonts w:ascii="宋体" w:hAnsi="宋体" w:hint="eastAsia"/>
                <w:sz w:val="24"/>
                <w:szCs w:val="21"/>
              </w:rPr>
              <w:t>分值构成</w:t>
            </w:r>
          </w:p>
          <w:p w:rsidR="0048537B" w:rsidRDefault="0048537B" w:rsidP="00C92609">
            <w:pPr>
              <w:spacing w:line="560" w:lineRule="atLeast"/>
              <w:jc w:val="center"/>
              <w:rPr>
                <w:rFonts w:ascii="宋体" w:hAnsi="宋体"/>
                <w:sz w:val="24"/>
                <w:szCs w:val="21"/>
              </w:rPr>
            </w:pPr>
            <w:r>
              <w:rPr>
                <w:rFonts w:ascii="宋体" w:hAnsi="宋体" w:hint="eastAsia"/>
                <w:sz w:val="24"/>
                <w:szCs w:val="21"/>
              </w:rPr>
              <w:t>（满分100分）</w:t>
            </w:r>
          </w:p>
        </w:tc>
        <w:tc>
          <w:tcPr>
            <w:tcW w:w="6268" w:type="dxa"/>
            <w:gridSpan w:val="2"/>
            <w:tcBorders>
              <w:top w:val="single" w:sz="8" w:space="0" w:color="auto"/>
              <w:left w:val="single" w:sz="8" w:space="0" w:color="auto"/>
              <w:bottom w:val="single" w:sz="8" w:space="0" w:color="auto"/>
              <w:right w:val="single" w:sz="12" w:space="0" w:color="auto"/>
            </w:tcBorders>
            <w:vAlign w:val="center"/>
          </w:tcPr>
          <w:p w:rsidR="0048537B" w:rsidRDefault="0048537B" w:rsidP="00C92609">
            <w:pPr>
              <w:spacing w:line="560" w:lineRule="atLeast"/>
              <w:rPr>
                <w:rFonts w:ascii="宋体" w:hAnsi="宋体"/>
                <w:sz w:val="24"/>
                <w:szCs w:val="21"/>
              </w:rPr>
            </w:pPr>
            <w:r>
              <w:rPr>
                <w:rFonts w:ascii="宋体" w:hAnsi="宋体" w:hint="eastAsia"/>
                <w:sz w:val="24"/>
                <w:szCs w:val="21"/>
              </w:rPr>
              <w:t>评标总得分F＝F1×A1＋F2×A2</w:t>
            </w:r>
          </w:p>
          <w:p w:rsidR="0048537B" w:rsidRDefault="0048537B" w:rsidP="00C92609">
            <w:pPr>
              <w:spacing w:line="560" w:lineRule="atLeast"/>
              <w:rPr>
                <w:rFonts w:ascii="宋体" w:hAnsi="宋体"/>
                <w:sz w:val="24"/>
                <w:szCs w:val="21"/>
              </w:rPr>
            </w:pPr>
            <w:r>
              <w:rPr>
                <w:rFonts w:ascii="宋体" w:hAnsi="宋体" w:hint="eastAsia"/>
                <w:sz w:val="24"/>
                <w:szCs w:val="21"/>
              </w:rPr>
              <w:t>其中：</w:t>
            </w:r>
          </w:p>
          <w:p w:rsidR="0048537B" w:rsidRDefault="0048537B" w:rsidP="00C92609">
            <w:pPr>
              <w:spacing w:line="560" w:lineRule="atLeast"/>
              <w:rPr>
                <w:rFonts w:ascii="宋体" w:hAnsi="宋体"/>
                <w:sz w:val="24"/>
                <w:szCs w:val="21"/>
              </w:rPr>
            </w:pPr>
            <w:r>
              <w:rPr>
                <w:rFonts w:ascii="宋体" w:hAnsi="宋体" w:cs="宋体" w:hint="eastAsia"/>
                <w:sz w:val="24"/>
                <w:szCs w:val="21"/>
              </w:rPr>
              <w:t>①</w:t>
            </w:r>
            <w:r>
              <w:rPr>
                <w:rFonts w:ascii="宋体" w:hAnsi="宋体" w:hint="eastAsia"/>
                <w:sz w:val="24"/>
                <w:szCs w:val="21"/>
              </w:rPr>
              <w:t>F1、F2分别为商务部分、技术部分2项评分因素的汇总得分；</w:t>
            </w:r>
          </w:p>
          <w:p w:rsidR="0048537B" w:rsidRDefault="0048537B" w:rsidP="00C92609">
            <w:pPr>
              <w:spacing w:line="560" w:lineRule="atLeast"/>
              <w:rPr>
                <w:rFonts w:ascii="宋体" w:hAnsi="宋体"/>
                <w:sz w:val="24"/>
                <w:szCs w:val="21"/>
              </w:rPr>
            </w:pPr>
            <w:r>
              <w:rPr>
                <w:rFonts w:ascii="宋体" w:hAnsi="宋体" w:cs="宋体" w:hint="eastAsia"/>
                <w:sz w:val="24"/>
                <w:szCs w:val="21"/>
              </w:rPr>
              <w:t>②</w:t>
            </w:r>
            <w:r>
              <w:rPr>
                <w:rFonts w:ascii="宋体" w:hAnsi="宋体" w:hint="eastAsia"/>
                <w:sz w:val="24"/>
                <w:szCs w:val="21"/>
              </w:rPr>
              <w:t>A1、A2分别为2项评分因素所占的权重（A1＋A2＝1）；</w:t>
            </w:r>
          </w:p>
        </w:tc>
      </w:tr>
      <w:tr w:rsidR="0048537B" w:rsidTr="00C92609">
        <w:trPr>
          <w:cantSplit/>
          <w:trHeight w:val="454"/>
          <w:jc w:val="center"/>
        </w:trPr>
        <w:tc>
          <w:tcPr>
            <w:tcW w:w="3032" w:type="dxa"/>
            <w:gridSpan w:val="3"/>
            <w:vMerge/>
            <w:tcBorders>
              <w:top w:val="single" w:sz="8" w:space="0" w:color="auto"/>
              <w:left w:val="single" w:sz="12" w:space="0" w:color="auto"/>
              <w:bottom w:val="single" w:sz="8" w:space="0" w:color="auto"/>
              <w:right w:val="single" w:sz="8" w:space="0" w:color="auto"/>
            </w:tcBorders>
            <w:vAlign w:val="center"/>
          </w:tcPr>
          <w:p w:rsidR="0048537B" w:rsidRDefault="0048537B" w:rsidP="00C92609">
            <w:pPr>
              <w:widowControl/>
              <w:jc w:val="left"/>
              <w:rPr>
                <w:rFonts w:ascii="宋体" w:hAnsi="宋体"/>
                <w:sz w:val="24"/>
                <w:szCs w:val="21"/>
              </w:rPr>
            </w:pPr>
          </w:p>
        </w:tc>
        <w:tc>
          <w:tcPr>
            <w:tcW w:w="6268" w:type="dxa"/>
            <w:gridSpan w:val="2"/>
            <w:tcBorders>
              <w:top w:val="single" w:sz="8" w:space="0" w:color="auto"/>
              <w:left w:val="single" w:sz="8" w:space="0" w:color="auto"/>
              <w:bottom w:val="single" w:sz="8" w:space="0" w:color="auto"/>
              <w:right w:val="single" w:sz="12" w:space="0" w:color="auto"/>
            </w:tcBorders>
            <w:vAlign w:val="center"/>
          </w:tcPr>
          <w:p w:rsidR="0048537B" w:rsidRDefault="0048537B" w:rsidP="00C92609">
            <w:pPr>
              <w:spacing w:line="560" w:lineRule="atLeast"/>
              <w:ind w:left="1258" w:hanging="1258"/>
              <w:rPr>
                <w:rFonts w:ascii="宋体" w:hAnsi="宋体"/>
                <w:sz w:val="24"/>
                <w:szCs w:val="21"/>
              </w:rPr>
            </w:pPr>
            <w:r>
              <w:rPr>
                <w:rFonts w:ascii="宋体" w:hAnsi="宋体" w:hint="eastAsia"/>
                <w:sz w:val="24"/>
                <w:szCs w:val="21"/>
              </w:rPr>
              <w:t>商务部分F1：100分，权重A1为</w:t>
            </w:r>
            <w:r>
              <w:rPr>
                <w:rFonts w:ascii="宋体" w:hAnsi="宋体" w:hint="eastAsia"/>
                <w:sz w:val="24"/>
                <w:szCs w:val="21"/>
                <w:u w:val="single"/>
              </w:rPr>
              <w:t xml:space="preserve"> 0.30 </w:t>
            </w:r>
            <w:r>
              <w:rPr>
                <w:rFonts w:ascii="宋体" w:hAnsi="宋体" w:hint="eastAsia"/>
                <w:sz w:val="24"/>
                <w:szCs w:val="21"/>
              </w:rPr>
              <w:t>。</w:t>
            </w:r>
          </w:p>
          <w:p w:rsidR="0048537B" w:rsidRDefault="0048537B" w:rsidP="00C92609">
            <w:pPr>
              <w:spacing w:line="560" w:lineRule="atLeast"/>
              <w:rPr>
                <w:rFonts w:ascii="宋体" w:hAnsi="宋体"/>
                <w:sz w:val="24"/>
                <w:szCs w:val="21"/>
              </w:rPr>
            </w:pPr>
            <w:r>
              <w:rPr>
                <w:rFonts w:ascii="宋体" w:hAnsi="宋体" w:hint="eastAsia"/>
                <w:sz w:val="24"/>
                <w:szCs w:val="21"/>
              </w:rPr>
              <w:t>技术部分F2：100分，权重A2为</w:t>
            </w:r>
            <w:r>
              <w:rPr>
                <w:rFonts w:ascii="宋体" w:hAnsi="宋体" w:hint="eastAsia"/>
                <w:sz w:val="24"/>
                <w:szCs w:val="21"/>
                <w:u w:val="single"/>
              </w:rPr>
              <w:t xml:space="preserve"> 0.70</w:t>
            </w:r>
            <w:r>
              <w:rPr>
                <w:rFonts w:ascii="宋体" w:hAnsi="宋体" w:hint="eastAsia"/>
                <w:sz w:val="24"/>
                <w:szCs w:val="21"/>
              </w:rPr>
              <w:t>。</w:t>
            </w:r>
          </w:p>
        </w:tc>
      </w:tr>
      <w:tr w:rsidR="0048537B" w:rsidTr="00C92609">
        <w:trPr>
          <w:trHeight w:val="454"/>
          <w:jc w:val="center"/>
        </w:trPr>
        <w:tc>
          <w:tcPr>
            <w:tcW w:w="3032" w:type="dxa"/>
            <w:gridSpan w:val="3"/>
            <w:tcBorders>
              <w:top w:val="single" w:sz="8" w:space="0" w:color="auto"/>
              <w:left w:val="single" w:sz="12" w:space="0" w:color="auto"/>
              <w:bottom w:val="single" w:sz="8" w:space="0" w:color="auto"/>
              <w:right w:val="single" w:sz="8" w:space="0" w:color="auto"/>
            </w:tcBorders>
            <w:vAlign w:val="center"/>
          </w:tcPr>
          <w:p w:rsidR="0048537B" w:rsidRDefault="0048537B" w:rsidP="00C92609">
            <w:pPr>
              <w:spacing w:line="560" w:lineRule="atLeast"/>
              <w:jc w:val="center"/>
              <w:rPr>
                <w:rFonts w:ascii="宋体" w:hAnsi="宋体"/>
                <w:b/>
                <w:sz w:val="24"/>
                <w:szCs w:val="21"/>
              </w:rPr>
            </w:pPr>
            <w:r>
              <w:rPr>
                <w:rFonts w:ascii="宋体" w:hAnsi="宋体" w:hint="eastAsia"/>
                <w:sz w:val="24"/>
                <w:szCs w:val="21"/>
              </w:rPr>
              <w:t>评标基准价计算方法</w:t>
            </w:r>
          </w:p>
        </w:tc>
        <w:tc>
          <w:tcPr>
            <w:tcW w:w="6268" w:type="dxa"/>
            <w:gridSpan w:val="2"/>
            <w:tcBorders>
              <w:top w:val="single" w:sz="8" w:space="0" w:color="auto"/>
              <w:left w:val="single" w:sz="8" w:space="0" w:color="auto"/>
              <w:bottom w:val="single" w:sz="8" w:space="0" w:color="auto"/>
              <w:right w:val="single" w:sz="12" w:space="0" w:color="auto"/>
            </w:tcBorders>
            <w:vAlign w:val="center"/>
          </w:tcPr>
          <w:p w:rsidR="0048537B" w:rsidRDefault="0048537B" w:rsidP="00C92609">
            <w:pPr>
              <w:spacing w:line="560" w:lineRule="atLeast"/>
              <w:rPr>
                <w:rFonts w:ascii="宋体" w:hAnsi="宋体"/>
                <w:b/>
                <w:sz w:val="24"/>
                <w:szCs w:val="21"/>
              </w:rPr>
            </w:pPr>
            <w:r>
              <w:rPr>
                <w:rFonts w:ascii="宋体" w:hAnsi="宋体" w:hint="eastAsia"/>
                <w:sz w:val="24"/>
                <w:szCs w:val="21"/>
              </w:rPr>
              <w:t>满足谈判文件要求且以所有有效采购谈判报价的平均价为评标基准价。</w:t>
            </w:r>
          </w:p>
        </w:tc>
      </w:tr>
      <w:tr w:rsidR="0048537B" w:rsidTr="00C92609">
        <w:trPr>
          <w:trHeight w:val="601"/>
          <w:jc w:val="center"/>
        </w:trPr>
        <w:tc>
          <w:tcPr>
            <w:tcW w:w="1920" w:type="dxa"/>
            <w:gridSpan w:val="2"/>
            <w:tcBorders>
              <w:top w:val="single" w:sz="8" w:space="0" w:color="auto"/>
              <w:left w:val="single" w:sz="12" w:space="0" w:color="auto"/>
              <w:bottom w:val="single" w:sz="8" w:space="0" w:color="auto"/>
              <w:right w:val="single" w:sz="8" w:space="0" w:color="auto"/>
            </w:tcBorders>
            <w:vAlign w:val="center"/>
          </w:tcPr>
          <w:p w:rsidR="0048537B" w:rsidRDefault="0048537B" w:rsidP="00C92609">
            <w:pPr>
              <w:spacing w:line="560" w:lineRule="atLeast"/>
              <w:jc w:val="center"/>
              <w:rPr>
                <w:rFonts w:ascii="宋体" w:hAnsi="宋体"/>
                <w:sz w:val="24"/>
                <w:szCs w:val="21"/>
              </w:rPr>
            </w:pPr>
            <w:r>
              <w:rPr>
                <w:rFonts w:ascii="宋体" w:hAnsi="宋体" w:hint="eastAsia"/>
                <w:b/>
                <w:sz w:val="24"/>
                <w:szCs w:val="21"/>
              </w:rPr>
              <w:t>条款号</w:t>
            </w:r>
          </w:p>
        </w:tc>
        <w:tc>
          <w:tcPr>
            <w:tcW w:w="1785" w:type="dxa"/>
            <w:gridSpan w:val="2"/>
            <w:tcBorders>
              <w:top w:val="single" w:sz="8" w:space="0" w:color="auto"/>
              <w:left w:val="single" w:sz="8" w:space="0" w:color="auto"/>
              <w:bottom w:val="single" w:sz="8" w:space="0" w:color="auto"/>
              <w:right w:val="single" w:sz="8" w:space="0" w:color="auto"/>
            </w:tcBorders>
            <w:vAlign w:val="center"/>
          </w:tcPr>
          <w:p w:rsidR="0048537B" w:rsidRDefault="0048537B" w:rsidP="00C92609">
            <w:pPr>
              <w:spacing w:line="560" w:lineRule="atLeast"/>
              <w:jc w:val="center"/>
              <w:rPr>
                <w:rFonts w:ascii="宋体" w:hAnsi="宋体"/>
                <w:b/>
                <w:sz w:val="24"/>
                <w:szCs w:val="21"/>
              </w:rPr>
            </w:pPr>
            <w:r>
              <w:rPr>
                <w:rFonts w:ascii="宋体" w:hAnsi="宋体" w:hint="eastAsia"/>
                <w:b/>
                <w:sz w:val="24"/>
                <w:szCs w:val="21"/>
              </w:rPr>
              <w:t>评分因素</w:t>
            </w:r>
          </w:p>
        </w:tc>
        <w:tc>
          <w:tcPr>
            <w:tcW w:w="5595" w:type="dxa"/>
            <w:tcBorders>
              <w:top w:val="single" w:sz="8" w:space="0" w:color="auto"/>
              <w:left w:val="single" w:sz="8" w:space="0" w:color="auto"/>
              <w:bottom w:val="single" w:sz="8" w:space="0" w:color="auto"/>
              <w:right w:val="single" w:sz="12" w:space="0" w:color="auto"/>
            </w:tcBorders>
            <w:vAlign w:val="center"/>
          </w:tcPr>
          <w:p w:rsidR="0048537B" w:rsidRDefault="0048537B" w:rsidP="00C92609">
            <w:pPr>
              <w:spacing w:line="560" w:lineRule="atLeast"/>
              <w:jc w:val="center"/>
              <w:rPr>
                <w:rFonts w:ascii="宋体" w:hAnsi="宋体"/>
                <w:b/>
                <w:sz w:val="24"/>
                <w:szCs w:val="21"/>
              </w:rPr>
            </w:pPr>
            <w:r>
              <w:rPr>
                <w:rFonts w:ascii="宋体" w:hAnsi="宋体" w:hint="eastAsia"/>
                <w:b/>
                <w:sz w:val="24"/>
                <w:szCs w:val="21"/>
              </w:rPr>
              <w:t>评分标准</w:t>
            </w:r>
          </w:p>
        </w:tc>
      </w:tr>
      <w:tr w:rsidR="0048537B" w:rsidTr="00C92609">
        <w:trPr>
          <w:cantSplit/>
          <w:trHeight w:val="2104"/>
          <w:jc w:val="center"/>
        </w:trPr>
        <w:tc>
          <w:tcPr>
            <w:tcW w:w="809" w:type="dxa"/>
            <w:tcBorders>
              <w:top w:val="single" w:sz="8" w:space="0" w:color="auto"/>
              <w:left w:val="single" w:sz="12" w:space="0" w:color="auto"/>
              <w:bottom w:val="single" w:sz="8" w:space="0" w:color="auto"/>
              <w:right w:val="single" w:sz="4" w:space="0" w:color="auto"/>
            </w:tcBorders>
            <w:vAlign w:val="center"/>
          </w:tcPr>
          <w:p w:rsidR="0048537B" w:rsidRDefault="0048537B" w:rsidP="00C92609">
            <w:pPr>
              <w:spacing w:line="560" w:lineRule="atLeast"/>
              <w:jc w:val="center"/>
              <w:rPr>
                <w:rFonts w:ascii="宋体" w:hAnsi="宋体"/>
                <w:sz w:val="24"/>
                <w:szCs w:val="21"/>
              </w:rPr>
            </w:pPr>
            <w:r>
              <w:rPr>
                <w:rFonts w:ascii="宋体" w:hAnsi="宋体" w:hint="eastAsia"/>
                <w:sz w:val="24"/>
                <w:szCs w:val="21"/>
              </w:rPr>
              <w:lastRenderedPageBreak/>
              <w:t>1</w:t>
            </w:r>
          </w:p>
        </w:tc>
        <w:tc>
          <w:tcPr>
            <w:tcW w:w="1111" w:type="dxa"/>
            <w:tcBorders>
              <w:top w:val="single" w:sz="8" w:space="0" w:color="auto"/>
              <w:left w:val="single" w:sz="4" w:space="0" w:color="auto"/>
              <w:bottom w:val="single" w:sz="8" w:space="0" w:color="auto"/>
              <w:right w:val="single" w:sz="8" w:space="0" w:color="auto"/>
            </w:tcBorders>
            <w:vAlign w:val="center"/>
          </w:tcPr>
          <w:p w:rsidR="0048537B" w:rsidRDefault="0048537B" w:rsidP="00C92609">
            <w:pPr>
              <w:spacing w:line="560" w:lineRule="atLeast"/>
              <w:jc w:val="center"/>
              <w:rPr>
                <w:rFonts w:ascii="宋体" w:hAnsi="宋体"/>
                <w:sz w:val="24"/>
                <w:szCs w:val="21"/>
              </w:rPr>
            </w:pPr>
            <w:r>
              <w:rPr>
                <w:rFonts w:ascii="宋体" w:hAnsi="宋体" w:hint="eastAsia"/>
                <w:sz w:val="24"/>
                <w:szCs w:val="21"/>
              </w:rPr>
              <w:t>商务部分F1评分标准（满分100分）</w:t>
            </w:r>
          </w:p>
        </w:tc>
        <w:tc>
          <w:tcPr>
            <w:tcW w:w="1785" w:type="dxa"/>
            <w:gridSpan w:val="2"/>
            <w:tcBorders>
              <w:top w:val="single" w:sz="8" w:space="0" w:color="auto"/>
              <w:left w:val="single" w:sz="8" w:space="0" w:color="auto"/>
              <w:bottom w:val="single" w:sz="8" w:space="0" w:color="auto"/>
              <w:right w:val="single" w:sz="8" w:space="0" w:color="auto"/>
            </w:tcBorders>
            <w:vAlign w:val="center"/>
          </w:tcPr>
          <w:p w:rsidR="0048537B" w:rsidRDefault="0048537B" w:rsidP="00C92609">
            <w:pPr>
              <w:spacing w:line="560" w:lineRule="atLeast"/>
              <w:jc w:val="center"/>
              <w:rPr>
                <w:rFonts w:ascii="宋体" w:hAnsi="宋体"/>
                <w:sz w:val="24"/>
                <w:szCs w:val="21"/>
              </w:rPr>
            </w:pPr>
            <w:r>
              <w:rPr>
                <w:rFonts w:ascii="宋体" w:hAnsi="宋体" w:hint="eastAsia"/>
                <w:sz w:val="24"/>
                <w:szCs w:val="21"/>
              </w:rPr>
              <w:t>商务部分评分计算公式</w:t>
            </w:r>
          </w:p>
        </w:tc>
        <w:tc>
          <w:tcPr>
            <w:tcW w:w="5595" w:type="dxa"/>
            <w:tcBorders>
              <w:top w:val="single" w:sz="8" w:space="0" w:color="auto"/>
              <w:left w:val="single" w:sz="8" w:space="0" w:color="auto"/>
              <w:bottom w:val="single" w:sz="8" w:space="0" w:color="auto"/>
              <w:right w:val="single" w:sz="12" w:space="0" w:color="auto"/>
            </w:tcBorders>
            <w:vAlign w:val="center"/>
          </w:tcPr>
          <w:p w:rsidR="0048537B" w:rsidRDefault="0048537B" w:rsidP="00C92609">
            <w:pPr>
              <w:spacing w:line="560" w:lineRule="atLeast"/>
              <w:rPr>
                <w:rFonts w:ascii="宋体" w:hAnsi="宋体"/>
                <w:sz w:val="24"/>
                <w:szCs w:val="21"/>
              </w:rPr>
            </w:pPr>
            <w:r>
              <w:rPr>
                <w:rFonts w:ascii="宋体" w:hAnsi="宋体" w:hint="eastAsia"/>
                <w:sz w:val="24"/>
                <w:szCs w:val="21"/>
              </w:rPr>
              <w:t xml:space="preserve">  F1＝（评标基准价/该投标人的投标报价）×100</w:t>
            </w:r>
          </w:p>
        </w:tc>
      </w:tr>
      <w:tr w:rsidR="0048537B" w:rsidTr="00C92609">
        <w:trPr>
          <w:cantSplit/>
          <w:trHeight w:val="1655"/>
          <w:jc w:val="center"/>
        </w:trPr>
        <w:tc>
          <w:tcPr>
            <w:tcW w:w="809" w:type="dxa"/>
            <w:vMerge w:val="restart"/>
            <w:tcBorders>
              <w:left w:val="single" w:sz="12" w:space="0" w:color="auto"/>
              <w:right w:val="single" w:sz="4" w:space="0" w:color="auto"/>
            </w:tcBorders>
            <w:vAlign w:val="center"/>
          </w:tcPr>
          <w:p w:rsidR="0048537B" w:rsidRDefault="0048537B" w:rsidP="00C92609">
            <w:pPr>
              <w:spacing w:line="560" w:lineRule="atLeast"/>
              <w:jc w:val="center"/>
              <w:rPr>
                <w:rFonts w:ascii="宋体" w:hAnsi="宋体"/>
                <w:sz w:val="24"/>
                <w:szCs w:val="21"/>
              </w:rPr>
            </w:pPr>
            <w:r>
              <w:rPr>
                <w:rFonts w:ascii="宋体" w:hAnsi="宋体" w:hint="eastAsia"/>
                <w:sz w:val="24"/>
                <w:szCs w:val="21"/>
              </w:rPr>
              <w:t>2</w:t>
            </w:r>
          </w:p>
        </w:tc>
        <w:tc>
          <w:tcPr>
            <w:tcW w:w="1111" w:type="dxa"/>
            <w:vMerge w:val="restart"/>
            <w:tcBorders>
              <w:left w:val="single" w:sz="4" w:space="0" w:color="auto"/>
              <w:right w:val="single" w:sz="8" w:space="0" w:color="auto"/>
            </w:tcBorders>
            <w:vAlign w:val="center"/>
          </w:tcPr>
          <w:p w:rsidR="0048537B" w:rsidRDefault="0048537B" w:rsidP="00C92609">
            <w:pPr>
              <w:spacing w:line="560" w:lineRule="atLeast"/>
              <w:jc w:val="center"/>
              <w:rPr>
                <w:rFonts w:ascii="宋体" w:hAnsi="宋体"/>
                <w:sz w:val="24"/>
                <w:szCs w:val="21"/>
              </w:rPr>
            </w:pPr>
            <w:r>
              <w:rPr>
                <w:rFonts w:ascii="宋体" w:hAnsi="宋体" w:hint="eastAsia"/>
                <w:sz w:val="24"/>
                <w:szCs w:val="21"/>
              </w:rPr>
              <w:t>技术部分F2评分标准（满分100分）</w:t>
            </w:r>
          </w:p>
        </w:tc>
        <w:tc>
          <w:tcPr>
            <w:tcW w:w="1785" w:type="dxa"/>
            <w:gridSpan w:val="2"/>
            <w:vMerge w:val="restart"/>
            <w:tcBorders>
              <w:top w:val="single" w:sz="8" w:space="0" w:color="auto"/>
              <w:left w:val="single" w:sz="8" w:space="0" w:color="auto"/>
              <w:bottom w:val="single" w:sz="4" w:space="0" w:color="auto"/>
              <w:right w:val="single" w:sz="8" w:space="0" w:color="auto"/>
            </w:tcBorders>
            <w:vAlign w:val="center"/>
          </w:tcPr>
          <w:p w:rsidR="0048537B" w:rsidRDefault="0048537B" w:rsidP="00C92609">
            <w:pPr>
              <w:autoSpaceDE w:val="0"/>
              <w:autoSpaceDN w:val="0"/>
              <w:adjustRightInd w:val="0"/>
              <w:spacing w:line="560" w:lineRule="atLeast"/>
              <w:jc w:val="center"/>
              <w:rPr>
                <w:rFonts w:ascii="宋体" w:hAnsi="宋体"/>
                <w:sz w:val="24"/>
                <w:szCs w:val="21"/>
              </w:rPr>
            </w:pPr>
            <w:r>
              <w:rPr>
                <w:rFonts w:ascii="宋体" w:hAnsi="宋体" w:hint="eastAsia"/>
                <w:sz w:val="24"/>
                <w:szCs w:val="21"/>
              </w:rPr>
              <w:t>服务质量承诺</w:t>
            </w:r>
          </w:p>
          <w:p w:rsidR="0048537B" w:rsidRPr="007C5973" w:rsidRDefault="0048537B" w:rsidP="00C92609">
            <w:pPr>
              <w:spacing w:line="540" w:lineRule="exact"/>
              <w:contextualSpacing/>
              <w:jc w:val="left"/>
              <w:rPr>
                <w:rFonts w:asciiTheme="minorEastAsia" w:hAnsiTheme="minorEastAsia"/>
                <w:sz w:val="24"/>
              </w:rPr>
            </w:pPr>
            <w:r>
              <w:rPr>
                <w:rFonts w:ascii="宋体" w:hAnsi="宋体" w:hint="eastAsia"/>
                <w:sz w:val="24"/>
                <w:szCs w:val="21"/>
              </w:rPr>
              <w:t>（满分</w:t>
            </w:r>
            <w:r>
              <w:rPr>
                <w:rFonts w:ascii="宋体" w:hAnsi="宋体"/>
                <w:sz w:val="24"/>
                <w:szCs w:val="21"/>
              </w:rPr>
              <w:t>25</w:t>
            </w:r>
            <w:r>
              <w:rPr>
                <w:rFonts w:ascii="宋体" w:hAnsi="宋体" w:hint="eastAsia"/>
                <w:sz w:val="24"/>
                <w:szCs w:val="21"/>
              </w:rPr>
              <w:t>分）</w:t>
            </w:r>
            <w:r w:rsidRPr="007C5973">
              <w:rPr>
                <w:rFonts w:asciiTheme="minorEastAsia" w:hAnsiTheme="minorEastAsia" w:hint="eastAsia"/>
                <w:sz w:val="24"/>
              </w:rPr>
              <w:t>质量保证及售后服务承诺</w:t>
            </w:r>
          </w:p>
          <w:p w:rsidR="0048537B" w:rsidRPr="00B20E64" w:rsidRDefault="0048537B" w:rsidP="00C92609">
            <w:pPr>
              <w:autoSpaceDE w:val="0"/>
              <w:autoSpaceDN w:val="0"/>
              <w:adjustRightInd w:val="0"/>
              <w:spacing w:line="560" w:lineRule="atLeast"/>
              <w:jc w:val="center"/>
              <w:rPr>
                <w:rFonts w:ascii="宋体" w:hAnsi="宋体"/>
                <w:sz w:val="24"/>
                <w:szCs w:val="21"/>
              </w:rPr>
            </w:pPr>
          </w:p>
        </w:tc>
        <w:tc>
          <w:tcPr>
            <w:tcW w:w="5595" w:type="dxa"/>
            <w:tcBorders>
              <w:top w:val="single" w:sz="8" w:space="0" w:color="auto"/>
              <w:left w:val="single" w:sz="8" w:space="0" w:color="auto"/>
              <w:bottom w:val="single" w:sz="8" w:space="0" w:color="auto"/>
              <w:right w:val="single" w:sz="12" w:space="0" w:color="auto"/>
            </w:tcBorders>
            <w:vAlign w:val="center"/>
          </w:tcPr>
          <w:p w:rsidR="0048537B" w:rsidRDefault="0048537B" w:rsidP="00C92609">
            <w:pPr>
              <w:autoSpaceDE w:val="0"/>
              <w:autoSpaceDN w:val="0"/>
              <w:adjustRightInd w:val="0"/>
              <w:spacing w:line="560" w:lineRule="atLeast"/>
              <w:rPr>
                <w:rFonts w:ascii="宋体" w:hAnsi="宋体"/>
                <w:sz w:val="24"/>
                <w:szCs w:val="21"/>
              </w:rPr>
            </w:pPr>
            <w:r>
              <w:rPr>
                <w:rFonts w:ascii="宋体" w:hAnsi="宋体" w:hint="eastAsia"/>
                <w:sz w:val="24"/>
                <w:szCs w:val="21"/>
              </w:rPr>
              <w:t>1.根据各供应商的质量承诺及后续服务（6分）；各阶段措施是否合理、详细、可行及优越性酌情计分（4分），未提供承诺则该项不得分。</w:t>
            </w:r>
          </w:p>
        </w:tc>
      </w:tr>
      <w:tr w:rsidR="0048537B" w:rsidTr="00C92609">
        <w:trPr>
          <w:cantSplit/>
          <w:trHeight w:val="1726"/>
          <w:jc w:val="center"/>
        </w:trPr>
        <w:tc>
          <w:tcPr>
            <w:tcW w:w="809" w:type="dxa"/>
            <w:vMerge/>
            <w:tcBorders>
              <w:left w:val="single" w:sz="12" w:space="0" w:color="auto"/>
              <w:right w:val="single" w:sz="4" w:space="0" w:color="auto"/>
            </w:tcBorders>
            <w:vAlign w:val="center"/>
          </w:tcPr>
          <w:p w:rsidR="0048537B" w:rsidRDefault="0048537B" w:rsidP="00C92609">
            <w:pPr>
              <w:widowControl/>
              <w:jc w:val="left"/>
              <w:rPr>
                <w:rFonts w:ascii="宋体" w:hAnsi="宋体"/>
                <w:sz w:val="24"/>
                <w:szCs w:val="21"/>
              </w:rPr>
            </w:pPr>
          </w:p>
        </w:tc>
        <w:tc>
          <w:tcPr>
            <w:tcW w:w="1111" w:type="dxa"/>
            <w:vMerge/>
            <w:tcBorders>
              <w:left w:val="single" w:sz="4" w:space="0" w:color="auto"/>
              <w:right w:val="single" w:sz="8" w:space="0" w:color="auto"/>
            </w:tcBorders>
            <w:vAlign w:val="center"/>
          </w:tcPr>
          <w:p w:rsidR="0048537B" w:rsidRDefault="0048537B" w:rsidP="00C92609">
            <w:pPr>
              <w:widowControl/>
              <w:jc w:val="left"/>
              <w:rPr>
                <w:rFonts w:ascii="宋体" w:hAnsi="宋体"/>
                <w:sz w:val="24"/>
                <w:szCs w:val="21"/>
              </w:rPr>
            </w:pPr>
          </w:p>
        </w:tc>
        <w:tc>
          <w:tcPr>
            <w:tcW w:w="1785" w:type="dxa"/>
            <w:gridSpan w:val="2"/>
            <w:vMerge/>
            <w:tcBorders>
              <w:top w:val="single" w:sz="8" w:space="0" w:color="auto"/>
              <w:left w:val="single" w:sz="8" w:space="0" w:color="auto"/>
              <w:bottom w:val="single" w:sz="4" w:space="0" w:color="auto"/>
              <w:right w:val="single" w:sz="8" w:space="0" w:color="auto"/>
            </w:tcBorders>
            <w:vAlign w:val="center"/>
          </w:tcPr>
          <w:p w:rsidR="0048537B" w:rsidRDefault="0048537B" w:rsidP="00C92609">
            <w:pPr>
              <w:widowControl/>
              <w:jc w:val="left"/>
              <w:rPr>
                <w:rFonts w:ascii="宋体" w:hAnsi="宋体"/>
                <w:sz w:val="24"/>
                <w:szCs w:val="21"/>
              </w:rPr>
            </w:pPr>
          </w:p>
        </w:tc>
        <w:tc>
          <w:tcPr>
            <w:tcW w:w="5595" w:type="dxa"/>
            <w:tcBorders>
              <w:top w:val="single" w:sz="8" w:space="0" w:color="auto"/>
              <w:left w:val="single" w:sz="8" w:space="0" w:color="auto"/>
              <w:bottom w:val="single" w:sz="4" w:space="0" w:color="auto"/>
              <w:right w:val="single" w:sz="12" w:space="0" w:color="auto"/>
            </w:tcBorders>
            <w:vAlign w:val="center"/>
          </w:tcPr>
          <w:p w:rsidR="0048537B" w:rsidRDefault="0048537B" w:rsidP="00C92609">
            <w:pPr>
              <w:autoSpaceDE w:val="0"/>
              <w:autoSpaceDN w:val="0"/>
              <w:adjustRightInd w:val="0"/>
              <w:spacing w:line="560" w:lineRule="atLeast"/>
              <w:rPr>
                <w:rFonts w:ascii="宋体" w:hAnsi="宋体"/>
                <w:sz w:val="24"/>
                <w:szCs w:val="21"/>
              </w:rPr>
            </w:pPr>
            <w:r>
              <w:rPr>
                <w:rFonts w:ascii="宋体" w:hAnsi="宋体" w:hint="eastAsia"/>
                <w:sz w:val="24"/>
                <w:szCs w:val="21"/>
              </w:rPr>
              <w:t>2.服务响应时间承诺（</w:t>
            </w:r>
            <w:r>
              <w:rPr>
                <w:rFonts w:ascii="宋体" w:hAnsi="宋体"/>
                <w:sz w:val="24"/>
                <w:szCs w:val="21"/>
              </w:rPr>
              <w:t>6</w:t>
            </w:r>
            <w:r>
              <w:rPr>
                <w:rFonts w:ascii="宋体" w:hAnsi="宋体" w:hint="eastAsia"/>
                <w:sz w:val="24"/>
                <w:szCs w:val="21"/>
              </w:rPr>
              <w:t>分）。</w:t>
            </w:r>
          </w:p>
          <w:p w:rsidR="0048537B" w:rsidRDefault="0048537B" w:rsidP="00C92609">
            <w:pPr>
              <w:autoSpaceDE w:val="0"/>
              <w:autoSpaceDN w:val="0"/>
              <w:adjustRightInd w:val="0"/>
              <w:spacing w:line="560" w:lineRule="atLeast"/>
              <w:rPr>
                <w:rFonts w:ascii="宋体" w:hAnsi="宋体"/>
                <w:sz w:val="24"/>
                <w:szCs w:val="21"/>
              </w:rPr>
            </w:pPr>
            <w:r>
              <w:rPr>
                <w:rFonts w:ascii="宋体" w:hAnsi="宋体" w:hint="eastAsia"/>
                <w:sz w:val="24"/>
                <w:szCs w:val="21"/>
              </w:rPr>
              <w:t>投标人需对响应时间承诺：响应时间较短，各节点安排合理，明晰的酌情打分，满分</w:t>
            </w:r>
            <w:r>
              <w:rPr>
                <w:rFonts w:ascii="宋体" w:hAnsi="宋体"/>
                <w:sz w:val="24"/>
                <w:szCs w:val="21"/>
              </w:rPr>
              <w:t>6</w:t>
            </w:r>
            <w:r>
              <w:rPr>
                <w:rFonts w:ascii="宋体" w:hAnsi="宋体" w:hint="eastAsia"/>
                <w:sz w:val="24"/>
                <w:szCs w:val="21"/>
              </w:rPr>
              <w:t>分；未提供承诺的该项不得分。</w:t>
            </w:r>
          </w:p>
          <w:p w:rsidR="0048537B" w:rsidRDefault="0048537B" w:rsidP="00C92609">
            <w:pPr>
              <w:autoSpaceDE w:val="0"/>
              <w:autoSpaceDN w:val="0"/>
              <w:adjustRightInd w:val="0"/>
              <w:spacing w:line="560" w:lineRule="atLeast"/>
              <w:rPr>
                <w:rFonts w:ascii="宋体" w:hAnsi="宋体"/>
                <w:sz w:val="24"/>
                <w:szCs w:val="21"/>
              </w:rPr>
            </w:pPr>
            <w:r>
              <w:rPr>
                <w:rFonts w:asciiTheme="minorEastAsia" w:hAnsiTheme="minorEastAsia" w:hint="eastAsia"/>
                <w:sz w:val="24"/>
              </w:rPr>
              <w:t>3、供应商</w:t>
            </w:r>
            <w:r w:rsidRPr="007C5973">
              <w:rPr>
                <w:rFonts w:asciiTheme="minorEastAsia" w:hAnsiTheme="minorEastAsia" w:hint="eastAsia"/>
                <w:sz w:val="24"/>
              </w:rPr>
              <w:t>获得质量管理体系认证（GB/T 19001-2016/ISO 9001:2015）可加</w:t>
            </w:r>
            <w:r>
              <w:rPr>
                <w:rFonts w:asciiTheme="minorEastAsia" w:hAnsiTheme="minorEastAsia"/>
                <w:sz w:val="24"/>
              </w:rPr>
              <w:t>2</w:t>
            </w:r>
            <w:r w:rsidRPr="007C5973">
              <w:rPr>
                <w:rFonts w:asciiTheme="minorEastAsia" w:hAnsiTheme="minorEastAsia" w:hint="eastAsia"/>
                <w:sz w:val="24"/>
              </w:rPr>
              <w:t>分；获得环境管理体系认证（GB/T 24001-2016/ISO 14001:2015）可加</w:t>
            </w:r>
            <w:r>
              <w:rPr>
                <w:rFonts w:asciiTheme="minorEastAsia" w:hAnsiTheme="minorEastAsia"/>
                <w:sz w:val="24"/>
              </w:rPr>
              <w:t>2</w:t>
            </w:r>
            <w:r w:rsidRPr="007C5973">
              <w:rPr>
                <w:rFonts w:asciiTheme="minorEastAsia" w:hAnsiTheme="minorEastAsia" w:hint="eastAsia"/>
                <w:sz w:val="24"/>
              </w:rPr>
              <w:t>分；获得职业健康安全管理体系认证（GB/T 45001-2020/ISO 45001:2018）可加</w:t>
            </w:r>
            <w:r>
              <w:rPr>
                <w:rFonts w:asciiTheme="minorEastAsia" w:hAnsiTheme="minorEastAsia"/>
                <w:sz w:val="24"/>
              </w:rPr>
              <w:t>2</w:t>
            </w:r>
            <w:r w:rsidRPr="007C5973">
              <w:rPr>
                <w:rFonts w:asciiTheme="minorEastAsia" w:hAnsiTheme="minorEastAsia" w:hint="eastAsia"/>
                <w:sz w:val="24"/>
              </w:rPr>
              <w:t>分。最多可加</w:t>
            </w:r>
            <w:r>
              <w:rPr>
                <w:rFonts w:asciiTheme="minorEastAsia" w:hAnsiTheme="minorEastAsia"/>
                <w:sz w:val="24"/>
              </w:rPr>
              <w:t>6</w:t>
            </w:r>
            <w:r w:rsidRPr="007C5973">
              <w:rPr>
                <w:rFonts w:asciiTheme="minorEastAsia" w:hAnsiTheme="minorEastAsia" w:hint="eastAsia"/>
                <w:sz w:val="24"/>
              </w:rPr>
              <w:t>分</w:t>
            </w:r>
          </w:p>
        </w:tc>
      </w:tr>
      <w:tr w:rsidR="0048537B" w:rsidTr="00C92609">
        <w:trPr>
          <w:cantSplit/>
          <w:trHeight w:val="2367"/>
          <w:jc w:val="center"/>
        </w:trPr>
        <w:tc>
          <w:tcPr>
            <w:tcW w:w="809" w:type="dxa"/>
            <w:vMerge/>
            <w:tcBorders>
              <w:left w:val="single" w:sz="12" w:space="0" w:color="auto"/>
              <w:right w:val="single" w:sz="4" w:space="0" w:color="auto"/>
            </w:tcBorders>
            <w:vAlign w:val="center"/>
          </w:tcPr>
          <w:p w:rsidR="0048537B" w:rsidRDefault="0048537B" w:rsidP="00C92609">
            <w:pPr>
              <w:widowControl/>
              <w:jc w:val="left"/>
              <w:rPr>
                <w:rFonts w:ascii="宋体" w:hAnsi="宋体"/>
                <w:sz w:val="24"/>
                <w:szCs w:val="21"/>
              </w:rPr>
            </w:pPr>
          </w:p>
        </w:tc>
        <w:tc>
          <w:tcPr>
            <w:tcW w:w="1111" w:type="dxa"/>
            <w:vMerge/>
            <w:tcBorders>
              <w:left w:val="single" w:sz="4" w:space="0" w:color="auto"/>
              <w:right w:val="single" w:sz="8" w:space="0" w:color="auto"/>
            </w:tcBorders>
            <w:vAlign w:val="center"/>
          </w:tcPr>
          <w:p w:rsidR="0048537B" w:rsidRDefault="0048537B" w:rsidP="00C92609">
            <w:pPr>
              <w:widowControl/>
              <w:jc w:val="left"/>
              <w:rPr>
                <w:rFonts w:ascii="宋体" w:hAnsi="宋体"/>
                <w:sz w:val="24"/>
                <w:szCs w:val="21"/>
              </w:rPr>
            </w:pPr>
          </w:p>
        </w:tc>
        <w:tc>
          <w:tcPr>
            <w:tcW w:w="1785" w:type="dxa"/>
            <w:gridSpan w:val="2"/>
            <w:tcBorders>
              <w:top w:val="single" w:sz="4" w:space="0" w:color="auto"/>
              <w:left w:val="single" w:sz="8" w:space="0" w:color="auto"/>
              <w:bottom w:val="single" w:sz="8" w:space="0" w:color="auto"/>
              <w:right w:val="single" w:sz="8" w:space="0" w:color="auto"/>
            </w:tcBorders>
            <w:vAlign w:val="center"/>
          </w:tcPr>
          <w:p w:rsidR="0048537B" w:rsidRDefault="0048537B" w:rsidP="00C92609">
            <w:pPr>
              <w:autoSpaceDE w:val="0"/>
              <w:autoSpaceDN w:val="0"/>
              <w:adjustRightInd w:val="0"/>
              <w:spacing w:line="560" w:lineRule="atLeast"/>
              <w:jc w:val="center"/>
              <w:rPr>
                <w:rFonts w:ascii="宋体" w:hAnsi="宋体"/>
                <w:sz w:val="24"/>
                <w:szCs w:val="21"/>
              </w:rPr>
            </w:pPr>
            <w:r>
              <w:rPr>
                <w:rFonts w:ascii="宋体" w:hAnsi="宋体" w:hint="eastAsia"/>
                <w:sz w:val="24"/>
                <w:szCs w:val="21"/>
              </w:rPr>
              <w:t>隔离护栏和标识牌</w:t>
            </w:r>
            <w:r>
              <w:rPr>
                <w:rFonts w:ascii="宋体" w:hAnsi="宋体"/>
                <w:sz w:val="24"/>
                <w:szCs w:val="21"/>
              </w:rPr>
              <w:t>要求及技术参数</w:t>
            </w:r>
          </w:p>
          <w:p w:rsidR="0048537B" w:rsidRDefault="0048537B" w:rsidP="00C92609">
            <w:pPr>
              <w:autoSpaceDE w:val="0"/>
              <w:autoSpaceDN w:val="0"/>
              <w:adjustRightInd w:val="0"/>
              <w:spacing w:line="560" w:lineRule="atLeast"/>
              <w:rPr>
                <w:rFonts w:ascii="宋体" w:hAnsi="宋体"/>
                <w:sz w:val="24"/>
                <w:szCs w:val="21"/>
              </w:rPr>
            </w:pPr>
            <w:r>
              <w:rPr>
                <w:rFonts w:ascii="宋体" w:hAnsi="宋体" w:hint="eastAsia"/>
                <w:sz w:val="24"/>
                <w:szCs w:val="21"/>
              </w:rPr>
              <w:t>（满分</w:t>
            </w:r>
            <w:r>
              <w:rPr>
                <w:rFonts w:ascii="宋体" w:hAnsi="宋体"/>
                <w:sz w:val="24"/>
                <w:szCs w:val="21"/>
              </w:rPr>
              <w:t>45</w:t>
            </w:r>
            <w:r>
              <w:rPr>
                <w:rFonts w:ascii="宋体" w:hAnsi="宋体" w:hint="eastAsia"/>
                <w:sz w:val="24"/>
                <w:szCs w:val="21"/>
              </w:rPr>
              <w:t>分）</w:t>
            </w:r>
          </w:p>
        </w:tc>
        <w:tc>
          <w:tcPr>
            <w:tcW w:w="5595" w:type="dxa"/>
            <w:tcBorders>
              <w:top w:val="single" w:sz="4" w:space="0" w:color="auto"/>
              <w:left w:val="single" w:sz="8" w:space="0" w:color="auto"/>
              <w:bottom w:val="single" w:sz="8" w:space="0" w:color="auto"/>
              <w:right w:val="single" w:sz="12" w:space="0" w:color="auto"/>
            </w:tcBorders>
            <w:vAlign w:val="center"/>
          </w:tcPr>
          <w:p w:rsidR="0048537B" w:rsidRDefault="0048537B" w:rsidP="00C92609">
            <w:pPr>
              <w:autoSpaceDE w:val="0"/>
              <w:autoSpaceDN w:val="0"/>
              <w:adjustRightInd w:val="0"/>
              <w:spacing w:line="560" w:lineRule="atLeast"/>
              <w:rPr>
                <w:rFonts w:ascii="宋体" w:hAnsi="宋体"/>
                <w:sz w:val="24"/>
                <w:szCs w:val="21"/>
              </w:rPr>
            </w:pPr>
            <w:r>
              <w:rPr>
                <w:rFonts w:ascii="宋体" w:hAnsi="宋体"/>
                <w:sz w:val="24"/>
                <w:szCs w:val="21"/>
              </w:rPr>
              <w:t>所提</w:t>
            </w:r>
            <w:r>
              <w:rPr>
                <w:rFonts w:ascii="宋体" w:hAnsi="宋体" w:hint="eastAsia"/>
                <w:sz w:val="24"/>
                <w:szCs w:val="21"/>
              </w:rPr>
              <w:t>供隔离护栏和标识牌</w:t>
            </w:r>
            <w:r>
              <w:rPr>
                <w:rFonts w:ascii="宋体" w:hAnsi="宋体"/>
                <w:sz w:val="24"/>
                <w:szCs w:val="21"/>
              </w:rPr>
              <w:t>规格要求及技术参数</w:t>
            </w:r>
            <w:r>
              <w:rPr>
                <w:rFonts w:ascii="宋体" w:hAnsi="宋体" w:hint="eastAsia"/>
                <w:sz w:val="24"/>
                <w:szCs w:val="21"/>
              </w:rPr>
              <w:t>完全满足</w:t>
            </w:r>
            <w:r>
              <w:rPr>
                <w:rFonts w:ascii="宋体" w:hAnsi="宋体"/>
                <w:sz w:val="24"/>
                <w:szCs w:val="21"/>
              </w:rPr>
              <w:t>竞争性</w:t>
            </w:r>
            <w:r>
              <w:rPr>
                <w:rFonts w:ascii="宋体" w:hAnsi="宋体" w:hint="eastAsia"/>
                <w:sz w:val="24"/>
                <w:szCs w:val="21"/>
              </w:rPr>
              <w:t>比选</w:t>
            </w:r>
            <w:r>
              <w:rPr>
                <w:rFonts w:ascii="宋体" w:hAnsi="宋体"/>
                <w:sz w:val="24"/>
                <w:szCs w:val="21"/>
              </w:rPr>
              <w:t>要求</w:t>
            </w:r>
            <w:r>
              <w:rPr>
                <w:rFonts w:ascii="宋体" w:hAnsi="宋体" w:hint="eastAsia"/>
                <w:sz w:val="24"/>
                <w:szCs w:val="21"/>
              </w:rPr>
              <w:t>。根据各投标人提供技术参数情况的优良性酌情计分,优得</w:t>
            </w:r>
            <w:r>
              <w:rPr>
                <w:rFonts w:ascii="宋体" w:hAnsi="宋体"/>
                <w:sz w:val="24"/>
                <w:szCs w:val="21"/>
              </w:rPr>
              <w:t>30</w:t>
            </w:r>
            <w:r>
              <w:rPr>
                <w:rFonts w:ascii="宋体" w:hAnsi="宋体" w:hint="eastAsia"/>
                <w:sz w:val="24"/>
                <w:szCs w:val="21"/>
              </w:rPr>
              <w:t>-</w:t>
            </w:r>
            <w:r>
              <w:rPr>
                <w:rFonts w:ascii="宋体" w:hAnsi="宋体"/>
                <w:sz w:val="24"/>
                <w:szCs w:val="21"/>
              </w:rPr>
              <w:t>45</w:t>
            </w:r>
            <w:r>
              <w:rPr>
                <w:rFonts w:ascii="宋体" w:hAnsi="宋体" w:hint="eastAsia"/>
                <w:sz w:val="24"/>
                <w:szCs w:val="21"/>
              </w:rPr>
              <w:t>分，良得</w:t>
            </w:r>
            <w:r>
              <w:rPr>
                <w:rFonts w:ascii="宋体" w:hAnsi="宋体"/>
                <w:sz w:val="24"/>
                <w:szCs w:val="21"/>
              </w:rPr>
              <w:t>20</w:t>
            </w:r>
            <w:r>
              <w:rPr>
                <w:rFonts w:ascii="宋体" w:hAnsi="宋体" w:hint="eastAsia"/>
                <w:sz w:val="24"/>
                <w:szCs w:val="21"/>
              </w:rPr>
              <w:t>-</w:t>
            </w:r>
            <w:r>
              <w:rPr>
                <w:rFonts w:ascii="宋体" w:hAnsi="宋体"/>
                <w:sz w:val="24"/>
                <w:szCs w:val="21"/>
              </w:rPr>
              <w:t>30</w:t>
            </w:r>
            <w:r>
              <w:rPr>
                <w:rFonts w:ascii="宋体" w:hAnsi="宋体" w:hint="eastAsia"/>
                <w:sz w:val="24"/>
                <w:szCs w:val="21"/>
              </w:rPr>
              <w:t>分，中得</w:t>
            </w:r>
            <w:r>
              <w:rPr>
                <w:rFonts w:ascii="宋体" w:hAnsi="宋体"/>
                <w:sz w:val="24"/>
                <w:szCs w:val="21"/>
              </w:rPr>
              <w:t>10</w:t>
            </w:r>
            <w:r>
              <w:rPr>
                <w:rFonts w:ascii="宋体" w:hAnsi="宋体" w:hint="eastAsia"/>
                <w:sz w:val="24"/>
                <w:szCs w:val="21"/>
              </w:rPr>
              <w:t>-</w:t>
            </w:r>
            <w:r>
              <w:rPr>
                <w:rFonts w:ascii="宋体" w:hAnsi="宋体"/>
                <w:sz w:val="24"/>
                <w:szCs w:val="21"/>
              </w:rPr>
              <w:t>20</w:t>
            </w:r>
            <w:r>
              <w:rPr>
                <w:rFonts w:ascii="宋体" w:hAnsi="宋体" w:hint="eastAsia"/>
                <w:sz w:val="24"/>
                <w:szCs w:val="21"/>
              </w:rPr>
              <w:t>分，差得0-</w:t>
            </w:r>
            <w:r>
              <w:rPr>
                <w:rFonts w:ascii="宋体" w:hAnsi="宋体"/>
                <w:sz w:val="24"/>
                <w:szCs w:val="21"/>
              </w:rPr>
              <w:t>10</w:t>
            </w:r>
            <w:r>
              <w:rPr>
                <w:rFonts w:ascii="宋体" w:hAnsi="宋体" w:hint="eastAsia"/>
                <w:sz w:val="24"/>
                <w:szCs w:val="21"/>
              </w:rPr>
              <w:t>分。</w:t>
            </w:r>
          </w:p>
        </w:tc>
      </w:tr>
      <w:tr w:rsidR="0048537B" w:rsidTr="00C92609">
        <w:trPr>
          <w:cantSplit/>
          <w:trHeight w:val="1531"/>
          <w:jc w:val="center"/>
        </w:trPr>
        <w:tc>
          <w:tcPr>
            <w:tcW w:w="809" w:type="dxa"/>
            <w:vMerge/>
            <w:tcBorders>
              <w:left w:val="single" w:sz="12" w:space="0" w:color="auto"/>
              <w:bottom w:val="single" w:sz="12" w:space="0" w:color="auto"/>
              <w:right w:val="single" w:sz="4" w:space="0" w:color="auto"/>
            </w:tcBorders>
            <w:vAlign w:val="center"/>
          </w:tcPr>
          <w:p w:rsidR="0048537B" w:rsidRDefault="0048537B" w:rsidP="00C92609">
            <w:pPr>
              <w:widowControl/>
              <w:jc w:val="left"/>
              <w:rPr>
                <w:rFonts w:ascii="宋体" w:hAnsi="宋体"/>
                <w:sz w:val="24"/>
                <w:szCs w:val="21"/>
              </w:rPr>
            </w:pPr>
          </w:p>
        </w:tc>
        <w:tc>
          <w:tcPr>
            <w:tcW w:w="1111" w:type="dxa"/>
            <w:vMerge/>
            <w:tcBorders>
              <w:left w:val="single" w:sz="4" w:space="0" w:color="auto"/>
              <w:bottom w:val="single" w:sz="12" w:space="0" w:color="auto"/>
              <w:right w:val="single" w:sz="8" w:space="0" w:color="auto"/>
            </w:tcBorders>
            <w:vAlign w:val="center"/>
          </w:tcPr>
          <w:p w:rsidR="0048537B" w:rsidRDefault="0048537B" w:rsidP="00C92609">
            <w:pPr>
              <w:widowControl/>
              <w:jc w:val="left"/>
              <w:rPr>
                <w:rFonts w:ascii="宋体" w:hAnsi="宋体"/>
                <w:sz w:val="24"/>
                <w:szCs w:val="21"/>
              </w:rPr>
            </w:pPr>
          </w:p>
        </w:tc>
        <w:tc>
          <w:tcPr>
            <w:tcW w:w="1785" w:type="dxa"/>
            <w:gridSpan w:val="2"/>
            <w:tcBorders>
              <w:top w:val="single" w:sz="8" w:space="0" w:color="auto"/>
              <w:left w:val="single" w:sz="8" w:space="0" w:color="auto"/>
              <w:bottom w:val="single" w:sz="4" w:space="0" w:color="auto"/>
              <w:right w:val="single" w:sz="8" w:space="0" w:color="auto"/>
            </w:tcBorders>
            <w:vAlign w:val="center"/>
          </w:tcPr>
          <w:p w:rsidR="0048537B" w:rsidRDefault="0048537B" w:rsidP="00C92609">
            <w:pPr>
              <w:autoSpaceDE w:val="0"/>
              <w:autoSpaceDN w:val="0"/>
              <w:adjustRightInd w:val="0"/>
              <w:spacing w:line="560" w:lineRule="atLeast"/>
              <w:jc w:val="center"/>
              <w:rPr>
                <w:rFonts w:ascii="宋体" w:hAnsi="宋体"/>
                <w:sz w:val="24"/>
                <w:szCs w:val="21"/>
              </w:rPr>
            </w:pPr>
            <w:r>
              <w:rPr>
                <w:rFonts w:ascii="宋体" w:hAnsi="宋体" w:hint="eastAsia"/>
                <w:sz w:val="24"/>
                <w:szCs w:val="21"/>
              </w:rPr>
              <w:t>针对本竞争性比选项目所提供的效果图及施工图</w:t>
            </w:r>
          </w:p>
          <w:p w:rsidR="0048537B" w:rsidRDefault="0048537B" w:rsidP="00C92609">
            <w:pPr>
              <w:autoSpaceDE w:val="0"/>
              <w:autoSpaceDN w:val="0"/>
              <w:adjustRightInd w:val="0"/>
              <w:spacing w:line="560" w:lineRule="atLeast"/>
              <w:jc w:val="center"/>
              <w:rPr>
                <w:rFonts w:ascii="宋体" w:hAnsi="宋体"/>
                <w:sz w:val="24"/>
                <w:szCs w:val="21"/>
              </w:rPr>
            </w:pPr>
            <w:r>
              <w:rPr>
                <w:rFonts w:ascii="宋体" w:hAnsi="宋体" w:hint="eastAsia"/>
                <w:sz w:val="24"/>
                <w:szCs w:val="21"/>
              </w:rPr>
              <w:t>(满分</w:t>
            </w:r>
            <w:r>
              <w:rPr>
                <w:rFonts w:ascii="宋体" w:hAnsi="宋体"/>
                <w:sz w:val="24"/>
                <w:szCs w:val="21"/>
              </w:rPr>
              <w:t>30</w:t>
            </w:r>
            <w:r>
              <w:rPr>
                <w:rFonts w:ascii="宋体" w:hAnsi="宋体" w:hint="eastAsia"/>
                <w:sz w:val="24"/>
                <w:szCs w:val="21"/>
              </w:rPr>
              <w:t>分)</w:t>
            </w:r>
          </w:p>
        </w:tc>
        <w:tc>
          <w:tcPr>
            <w:tcW w:w="5595" w:type="dxa"/>
            <w:tcBorders>
              <w:top w:val="single" w:sz="8" w:space="0" w:color="auto"/>
              <w:left w:val="single" w:sz="8" w:space="0" w:color="auto"/>
              <w:bottom w:val="single" w:sz="12" w:space="0" w:color="auto"/>
              <w:right w:val="single" w:sz="12" w:space="0" w:color="auto"/>
            </w:tcBorders>
            <w:vAlign w:val="center"/>
          </w:tcPr>
          <w:p w:rsidR="0048537B" w:rsidRDefault="0048537B" w:rsidP="00C92609">
            <w:pPr>
              <w:adjustRightInd w:val="0"/>
              <w:spacing w:line="540" w:lineRule="exact"/>
              <w:ind w:firstLineChars="200" w:firstLine="480"/>
              <w:contextualSpacing/>
              <w:jc w:val="left"/>
              <w:rPr>
                <w:rFonts w:ascii="宋体" w:hAnsi="宋体"/>
                <w:sz w:val="24"/>
                <w:szCs w:val="21"/>
              </w:rPr>
            </w:pPr>
            <w:r>
              <w:rPr>
                <w:rFonts w:ascii="宋体" w:hAnsi="宋体" w:hint="eastAsia"/>
                <w:sz w:val="24"/>
                <w:szCs w:val="21"/>
              </w:rPr>
              <w:t>1.所提供的效果图及施工图能较好满足使用方的要求,得</w:t>
            </w:r>
            <w:r>
              <w:rPr>
                <w:rFonts w:ascii="宋体" w:hAnsi="宋体"/>
                <w:sz w:val="24"/>
                <w:szCs w:val="21"/>
              </w:rPr>
              <w:t>30</w:t>
            </w:r>
            <w:r>
              <w:rPr>
                <w:rFonts w:ascii="宋体" w:hAnsi="宋体" w:hint="eastAsia"/>
                <w:sz w:val="24"/>
                <w:szCs w:val="21"/>
              </w:rPr>
              <w:t>分;</w:t>
            </w:r>
          </w:p>
          <w:p w:rsidR="0048537B" w:rsidRDefault="0048537B" w:rsidP="00C92609">
            <w:pPr>
              <w:adjustRightInd w:val="0"/>
              <w:spacing w:line="540" w:lineRule="exact"/>
              <w:ind w:firstLineChars="200" w:firstLine="480"/>
              <w:contextualSpacing/>
              <w:jc w:val="left"/>
              <w:rPr>
                <w:rFonts w:ascii="宋体" w:hAnsi="宋体"/>
                <w:sz w:val="24"/>
                <w:szCs w:val="21"/>
              </w:rPr>
            </w:pPr>
            <w:r>
              <w:rPr>
                <w:rFonts w:ascii="宋体" w:hAnsi="宋体" w:hint="eastAsia"/>
                <w:sz w:val="24"/>
                <w:szCs w:val="21"/>
              </w:rPr>
              <w:t>2.所提供的效果图及施工图相对一般，能基本满足使用方要求的，得</w:t>
            </w:r>
            <w:r>
              <w:rPr>
                <w:rFonts w:ascii="宋体" w:hAnsi="宋体"/>
                <w:sz w:val="24"/>
                <w:szCs w:val="21"/>
              </w:rPr>
              <w:t>10</w:t>
            </w:r>
            <w:r>
              <w:rPr>
                <w:rFonts w:ascii="宋体" w:hAnsi="宋体" w:hint="eastAsia"/>
                <w:sz w:val="24"/>
                <w:szCs w:val="21"/>
              </w:rPr>
              <w:t>-</w:t>
            </w:r>
            <w:r>
              <w:rPr>
                <w:rFonts w:ascii="宋体" w:hAnsi="宋体"/>
                <w:sz w:val="24"/>
                <w:szCs w:val="21"/>
              </w:rPr>
              <w:t>20</w:t>
            </w:r>
            <w:r>
              <w:rPr>
                <w:rFonts w:ascii="宋体" w:hAnsi="宋体" w:hint="eastAsia"/>
                <w:sz w:val="24"/>
                <w:szCs w:val="21"/>
              </w:rPr>
              <w:t>分；</w:t>
            </w:r>
          </w:p>
          <w:p w:rsidR="0048537B" w:rsidRDefault="0048537B" w:rsidP="00C92609">
            <w:pPr>
              <w:autoSpaceDE w:val="0"/>
              <w:autoSpaceDN w:val="0"/>
              <w:adjustRightInd w:val="0"/>
              <w:spacing w:line="560" w:lineRule="atLeast"/>
              <w:ind w:firstLineChars="200" w:firstLine="480"/>
              <w:rPr>
                <w:rFonts w:ascii="宋体" w:hAnsi="宋体"/>
                <w:sz w:val="24"/>
                <w:szCs w:val="21"/>
              </w:rPr>
            </w:pPr>
            <w:r>
              <w:rPr>
                <w:rFonts w:ascii="宋体" w:hAnsi="宋体" w:hint="eastAsia"/>
                <w:sz w:val="24"/>
                <w:szCs w:val="21"/>
              </w:rPr>
              <w:t>3.所提供的效果图及施工图不具体，合理性、可行性较差，不能满足采购方使用要求的，得0-</w:t>
            </w:r>
            <w:r>
              <w:rPr>
                <w:rFonts w:ascii="宋体" w:hAnsi="宋体"/>
                <w:sz w:val="24"/>
                <w:szCs w:val="21"/>
              </w:rPr>
              <w:t>10</w:t>
            </w:r>
            <w:r>
              <w:rPr>
                <w:rFonts w:ascii="宋体" w:hAnsi="宋体" w:hint="eastAsia"/>
                <w:sz w:val="24"/>
                <w:szCs w:val="21"/>
              </w:rPr>
              <w:t>分。</w:t>
            </w:r>
          </w:p>
        </w:tc>
      </w:tr>
    </w:tbl>
    <w:p w:rsidR="003666E6" w:rsidRPr="0048537B" w:rsidRDefault="003666E6"/>
    <w:sectPr w:rsidR="003666E6" w:rsidRPr="004853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6E6" w:rsidRDefault="003666E6" w:rsidP="0048537B">
      <w:r>
        <w:separator/>
      </w:r>
    </w:p>
  </w:endnote>
  <w:endnote w:type="continuationSeparator" w:id="1">
    <w:p w:rsidR="003666E6" w:rsidRDefault="003666E6" w:rsidP="004853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6E6" w:rsidRDefault="003666E6" w:rsidP="0048537B">
      <w:r>
        <w:separator/>
      </w:r>
    </w:p>
  </w:footnote>
  <w:footnote w:type="continuationSeparator" w:id="1">
    <w:p w:rsidR="003666E6" w:rsidRDefault="003666E6" w:rsidP="00485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37B"/>
    <w:rsid w:val="003666E6"/>
    <w:rsid w:val="004853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37B"/>
    <w:rPr>
      <w:sz w:val="18"/>
      <w:szCs w:val="18"/>
    </w:rPr>
  </w:style>
  <w:style w:type="paragraph" w:styleId="a4">
    <w:name w:val="footer"/>
    <w:basedOn w:val="a"/>
    <w:link w:val="Char0"/>
    <w:uiPriority w:val="99"/>
    <w:semiHidden/>
    <w:unhideWhenUsed/>
    <w:rsid w:val="004853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53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2020-10-16T06:24:00Z</dcterms:created>
  <dcterms:modified xsi:type="dcterms:W3CDTF">2020-10-16T06:28:00Z</dcterms:modified>
</cp:coreProperties>
</file>