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（玉溪）易门至（昆明）晋宁高速公路、乐昆高速（云南境）S29川滇界乌东德至禄劝段项目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投融资咨询招标项目招标代理机构</w:t>
      </w:r>
    </w:p>
    <w:p>
      <w:pPr>
        <w:bidi w:val="0"/>
        <w:jc w:val="center"/>
        <w:rPr>
          <w:rStyle w:val="4"/>
          <w:rFonts w:hint="eastAsia" w:ascii="方正小标宋简体" w:hAnsi="方正小标宋简体" w:eastAsia="方正小标宋简体" w:cs="方正小标宋简体"/>
          <w:color w:val="555555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竞争性比选评分办法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4"/>
          <w:rFonts w:hint="eastAsia" w:ascii="黑体" w:hAnsi="黑体" w:eastAsia="黑体" w:cs="黑体"/>
          <w:color w:val="555555"/>
          <w:sz w:val="32"/>
          <w:szCs w:val="44"/>
          <w:u w:val="none"/>
          <w:lang w:eastAsia="zh-CN"/>
        </w:rPr>
      </w:pPr>
      <w:r>
        <w:rPr>
          <w:rStyle w:val="4"/>
          <w:rFonts w:hint="eastAsia" w:ascii="黑体" w:hAnsi="黑体" w:eastAsia="黑体" w:cs="黑体"/>
          <w:color w:val="555555"/>
          <w:sz w:val="32"/>
          <w:szCs w:val="44"/>
          <w:u w:val="none"/>
          <w:lang w:eastAsia="zh-CN"/>
        </w:rPr>
        <w:t>一、总则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  <w:t>此次评分满分为100分，其中综合评议占80分，报价审查占20分。比选小组根据申请人现场提交的材料进行评分，不接受任何后续递补材料。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4"/>
          <w:rFonts w:hint="eastAsia" w:ascii="黑体" w:hAnsi="黑体" w:eastAsia="黑体" w:cs="黑体"/>
          <w:color w:val="555555"/>
          <w:sz w:val="32"/>
          <w:szCs w:val="44"/>
          <w:u w:val="none"/>
          <w:lang w:val="en-US" w:eastAsia="zh-CN"/>
        </w:rPr>
      </w:pPr>
      <w:r>
        <w:rPr>
          <w:rStyle w:val="4"/>
          <w:rFonts w:hint="eastAsia" w:ascii="黑体" w:hAnsi="黑体" w:eastAsia="黑体" w:cs="黑体"/>
          <w:color w:val="555555"/>
          <w:sz w:val="32"/>
          <w:szCs w:val="44"/>
          <w:u w:val="none"/>
          <w:lang w:val="en-US" w:eastAsia="zh-CN"/>
        </w:rPr>
        <w:t>二、评分细则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  <w:t>1、综合评议（80分）：提供项目服务方案（包括对项目的理解和总体思路，项目特点、关键技术问题的认识及其对策措施，人员、工作量及计划安排，质量和进度保证措施，后续服务的安排及保证措施,企业业绩等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  <w:t>评分细则：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  <w:t>（一）招标代理工作方案(30分）：（1）招标代理工作方案详细，针对性强，内容具体，能充分体现本项目招标特点，20分≤得分≤30分；（2）能提供招标代理工作方案，内容基本完整，10分≤得分＜20分；（3）招标代理工作方案或方案内容不完整，0分≤得分＜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  <w:t>（二）项目组织机构及人员安排（10分）：（1）组织机构管理体系完善，针对性强，主要人员的专业配置合理齐全的，7分≤得分≤10分；（2）组织机构管理体系完善，有针对性，主要人员的专业配置基本合理的，3分≤得分＜7分；（3）组织机构体系不完善，主要人员的专业配置有疏漏的，0分≤得分＜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  <w:t>（三）服务质量承诺（10分）：（1）服务质量承诺内容具体，切实可行，并附有具体违约承诺的，7分≤得分≤10分；（2）服务质量承诺内容较为完善，可行性不足，无具体违约承诺的，4分≤得分＜7分；（3）服务质量承诺内容空洞，且无具体违约承诺的，0分≤得分＜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  <w:t>（四）廉洁管理措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施及承</w:t>
      </w:r>
      <w:r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  <w:t>诺（10分）：（1）廉洁管理措施内容具体，切实可行，并附有具体违约承诺的，7分≤得分≤10分；（2）廉洁管理措施内容较为完善，可行性不足，无具体违约承诺的，4分≤得分＜7分；（3）廉洁管理措施内容空洞，且无具体违约承诺的，0分≤得分＜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  <w:t>（五）企业业绩（20分）：通过资格审查得基本分5分，每增加一个类似业绩加5分，分值加满为止。（附中标通知书或合同协议或业主证明等资料）。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  <w:t>2、报价审查（20分）：申请人按照《招标代理服务费收费标准》（计价格〔2002〕198</w:t>
      </w:r>
      <w:bookmarkStart w:id="0" w:name="_GoBack"/>
      <w:bookmarkEnd w:id="0"/>
      <w:r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  <w:t>0号）、《国家发改委关于进一步放开建设项目专业服务价格的通知》（发改价格〔2015〕299号）等文件规定的收费标准进行报价， 上下浮动幅度不超过 20 %。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color w:val="555555"/>
          <w:sz w:val="32"/>
          <w:szCs w:val="44"/>
          <w:u w:val="none"/>
          <w:lang w:val="en-US" w:eastAsia="zh-CN"/>
        </w:rPr>
        <w:t>评分细则：最低下浮率得满分，每上浮1%扣1分，分数扣完为止。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D2FB1"/>
    <w:rsid w:val="0B2C6FF1"/>
    <w:rsid w:val="251A252D"/>
    <w:rsid w:val="28EB3052"/>
    <w:rsid w:val="2D865BC4"/>
    <w:rsid w:val="2EB81ADA"/>
    <w:rsid w:val="2F110DE5"/>
    <w:rsid w:val="38301C3D"/>
    <w:rsid w:val="3ADE6FDF"/>
    <w:rsid w:val="413B0280"/>
    <w:rsid w:val="4D692531"/>
    <w:rsid w:val="57504649"/>
    <w:rsid w:val="6BA04197"/>
    <w:rsid w:val="6CBA3C9E"/>
    <w:rsid w:val="75CD76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rFonts w:ascii="Calibri" w:hAnsi="Calibri" w:eastAsia="宋体"/>
      <w:color w:val="auto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2020-11-02T03:46:00Z</cp:lastPrinted>
  <dcterms:modified xsi:type="dcterms:W3CDTF">2020-11-04T13:51:54Z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